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B4E7" w14:textId="77777777" w:rsidR="009E10E4" w:rsidRPr="00D92C22" w:rsidRDefault="009E10E4" w:rsidP="009E10E4">
      <w:pPr>
        <w:pStyle w:val="Heading2"/>
        <w:spacing w:before="120" w:after="0"/>
        <w:jc w:val="center"/>
        <w:rPr>
          <w:rFonts w:asciiTheme="minorHAnsi" w:hAnsiTheme="minorHAnsi" w:cstheme="minorHAnsi"/>
          <w:sz w:val="24"/>
          <w:szCs w:val="24"/>
          <w:lang w:val="en-GB"/>
        </w:rPr>
      </w:pPr>
      <w:r w:rsidRPr="00D92C22">
        <w:rPr>
          <w:rFonts w:asciiTheme="minorHAnsi" w:hAnsiTheme="minorHAnsi" w:cstheme="minorHAnsi"/>
          <w:sz w:val="24"/>
          <w:szCs w:val="24"/>
          <w:lang w:val="en-GB"/>
        </w:rPr>
        <w:t>NON-DISCLOSURE AND NON-COMPETING AGREEMENT</w:t>
      </w:r>
    </w:p>
    <w:p w14:paraId="53FAE2E0" w14:textId="77777777" w:rsidR="009E10E4" w:rsidRDefault="009E10E4" w:rsidP="009E10E4">
      <w:pPr>
        <w:ind w:left="540" w:hanging="540"/>
        <w:jc w:val="center"/>
        <w:rPr>
          <w:rFonts w:ascii="Calibri" w:hAnsi="Calibri" w:cs="Times New Roman"/>
          <w:b/>
          <w:bCs/>
          <w:color w:val="auto"/>
          <w:lang w:val="en-GB"/>
        </w:rPr>
      </w:pPr>
      <w:r w:rsidRPr="00E20ED8">
        <w:rPr>
          <w:rFonts w:ascii="Calibri" w:hAnsi="Calibri" w:cs="Times New Roman"/>
          <w:color w:val="auto"/>
          <w:lang w:val="en-GB"/>
        </w:rPr>
        <w:br/>
      </w:r>
    </w:p>
    <w:p w14:paraId="5ADE86DC" w14:textId="03DA17F1"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Effective Date: </w:t>
      </w:r>
      <w:r w:rsidR="00190B68">
        <w:rPr>
          <w:rFonts w:ascii="Calibri" w:hAnsi="Calibri" w:cs="Times New Roman"/>
          <w:color w:val="auto"/>
          <w:lang w:val="en-GB"/>
        </w:rPr>
        <w:t xml:space="preserve"> </w:t>
      </w:r>
      <w:r w:rsidR="00190B68" w:rsidRPr="00190B68">
        <w:rPr>
          <w:rFonts w:ascii="Calibri" w:hAnsi="Calibri" w:cs="Times New Roman"/>
          <w:color w:val="auto"/>
          <w:highlight w:val="yellow"/>
          <w:lang w:val="en-GB"/>
        </w:rPr>
        <w:t>_________________</w:t>
      </w:r>
      <w:r w:rsidR="000C0AF7">
        <w:rPr>
          <w:rFonts w:ascii="Calibri" w:hAnsi="Calibri" w:cs="Times New Roman"/>
          <w:color w:val="auto"/>
          <w:lang w:val="en-GB"/>
        </w:rPr>
        <w:t xml:space="preserve">    </w:t>
      </w:r>
      <w:r w:rsidRPr="00E20ED8">
        <w:rPr>
          <w:rFonts w:ascii="Calibri" w:hAnsi="Calibri" w:cs="Times New Roman"/>
          <w:color w:val="auto"/>
          <w:lang w:val="en-GB"/>
        </w:rPr>
        <w:t>(the “Effective Date”)</w:t>
      </w:r>
    </w:p>
    <w:p w14:paraId="25E89DCF"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This Non-Disclosure and Non-Competing Agreement (“</w:t>
      </w:r>
      <w:r w:rsidRPr="00E20ED8">
        <w:rPr>
          <w:rFonts w:ascii="Calibri" w:hAnsi="Calibri" w:cs="Times New Roman"/>
          <w:b/>
          <w:bCs/>
          <w:color w:val="auto"/>
          <w:lang w:val="en-GB"/>
        </w:rPr>
        <w:t>NDA/NCA</w:t>
      </w:r>
      <w:r w:rsidRPr="00E20ED8">
        <w:rPr>
          <w:rFonts w:ascii="Calibri" w:hAnsi="Calibri" w:cs="Times New Roman"/>
          <w:color w:val="auto"/>
          <w:lang w:val="en-GB"/>
        </w:rPr>
        <w:t>”) is entered into by and between:</w:t>
      </w:r>
    </w:p>
    <w:p w14:paraId="67FAD9A6" w14:textId="77777777" w:rsidR="009E10E4" w:rsidRPr="00E20ED8" w:rsidRDefault="009E10E4" w:rsidP="009E10E4">
      <w:pPr>
        <w:numPr>
          <w:ilvl w:val="0"/>
          <w:numId w:val="1"/>
        </w:numPr>
        <w:jc w:val="both"/>
        <w:rPr>
          <w:rFonts w:ascii="Calibri" w:hAnsi="Calibri" w:cs="Times New Roman"/>
          <w:color w:val="auto"/>
          <w:lang w:val="en-GB"/>
        </w:rPr>
      </w:pPr>
      <w:r w:rsidRPr="00E20ED8">
        <w:rPr>
          <w:rFonts w:ascii="Calibri" w:hAnsi="Calibri" w:cs="Times New Roman"/>
          <w:b/>
          <w:bCs/>
          <w:color w:val="auto"/>
          <w:lang w:val="en-GB"/>
        </w:rPr>
        <w:t>SharpCrafters s.r.o.</w:t>
      </w:r>
      <w:r w:rsidRPr="00E20ED8">
        <w:rPr>
          <w:rFonts w:ascii="Calibri" w:hAnsi="Calibri" w:cs="Times New Roman"/>
          <w:color w:val="auto"/>
          <w:lang w:val="en-GB"/>
        </w:rPr>
        <w:t>, doing business as “PostSharp” or “PostSharp Technologies,” having its registered office at Prague 5, nám. 11. října 1307/2, Postal Code 150 00, the Czech Republic (hereinafter the “</w:t>
      </w:r>
      <w:r w:rsidRPr="00E20ED8">
        <w:rPr>
          <w:rFonts w:ascii="Calibri" w:hAnsi="Calibri" w:cs="Times New Roman"/>
          <w:b/>
          <w:bCs/>
          <w:color w:val="auto"/>
          <w:lang w:val="en-GB"/>
        </w:rPr>
        <w:t>Licensor</w:t>
      </w:r>
      <w:r w:rsidRPr="00E20ED8">
        <w:rPr>
          <w:rFonts w:ascii="Calibri" w:hAnsi="Calibri" w:cs="Times New Roman"/>
          <w:color w:val="auto"/>
          <w:lang w:val="en-GB"/>
        </w:rPr>
        <w:t>”); and</w:t>
      </w:r>
    </w:p>
    <w:p w14:paraId="1D7CB223" w14:textId="13832088" w:rsidR="009E10E4" w:rsidRPr="00E20ED8" w:rsidRDefault="006B10F6" w:rsidP="00024DB4">
      <w:pPr>
        <w:numPr>
          <w:ilvl w:val="0"/>
          <w:numId w:val="1"/>
        </w:numPr>
        <w:rPr>
          <w:rFonts w:ascii="Calibri" w:hAnsi="Calibri" w:cs="Times New Roman"/>
          <w:color w:val="auto"/>
          <w:lang w:val="en-GB"/>
        </w:rPr>
      </w:pPr>
      <w:r w:rsidRPr="006B10F6">
        <w:rPr>
          <w:rFonts w:ascii="Calibri" w:hAnsi="Calibri" w:cs="Times New Roman"/>
          <w:color w:val="auto"/>
          <w:highlight w:val="yellow"/>
          <w:lang w:val="en-GB"/>
        </w:rPr>
        <w:t>________________________________</w:t>
      </w:r>
      <w:r w:rsidR="00024DB4">
        <w:rPr>
          <w:rFonts w:ascii="Calibri" w:hAnsi="Calibri" w:cs="Times New Roman"/>
          <w:color w:val="auto"/>
          <w:lang w:val="en-GB"/>
        </w:rPr>
        <w:br/>
      </w:r>
      <w:r w:rsidR="00024DB4">
        <w:rPr>
          <w:rFonts w:ascii="Calibri" w:hAnsi="Calibri" w:cs="Times New Roman"/>
          <w:color w:val="auto"/>
          <w:lang w:val="en-GB"/>
        </w:rPr>
        <w:br/>
      </w:r>
      <w:r w:rsidR="009E10E4" w:rsidRPr="00E20ED8">
        <w:rPr>
          <w:rFonts w:ascii="Calibri" w:hAnsi="Calibri" w:cs="Times New Roman"/>
          <w:color w:val="auto"/>
          <w:lang w:val="en-GB"/>
        </w:rPr>
        <w:t>a company or individual with a principal place of business at</w:t>
      </w:r>
      <w:r>
        <w:rPr>
          <w:rFonts w:ascii="Calibri" w:hAnsi="Calibri" w:cs="Times New Roman"/>
          <w:color w:val="auto"/>
          <w:lang w:val="en-GB"/>
        </w:rPr>
        <w:br/>
      </w:r>
      <w:r>
        <w:rPr>
          <w:rFonts w:ascii="Calibri" w:hAnsi="Calibri" w:cs="Times New Roman"/>
          <w:color w:val="auto"/>
          <w:lang w:val="en-GB"/>
        </w:rPr>
        <w:br/>
      </w:r>
      <w:r w:rsidRPr="006B10F6">
        <w:rPr>
          <w:rFonts w:ascii="Calibri" w:hAnsi="Calibri" w:cs="Times New Roman"/>
          <w:color w:val="auto"/>
          <w:highlight w:val="yellow"/>
          <w:lang w:val="en-GB"/>
        </w:rPr>
        <w:t>_______________________________________________________________</w:t>
      </w:r>
      <w:r w:rsidR="00024DB4">
        <w:rPr>
          <w:rFonts w:ascii="Calibri" w:hAnsi="Calibri" w:cs="Times New Roman"/>
          <w:color w:val="auto"/>
          <w:lang w:val="en-GB"/>
        </w:rPr>
        <w:br/>
      </w:r>
      <w:r w:rsidR="00024DB4">
        <w:rPr>
          <w:rFonts w:ascii="Calibri" w:hAnsi="Calibri" w:cs="Times New Roman"/>
          <w:color w:val="auto"/>
          <w:lang w:val="en-GB"/>
        </w:rPr>
        <w:br/>
      </w:r>
      <w:r w:rsidR="009E10E4" w:rsidRPr="00E20ED8">
        <w:rPr>
          <w:rFonts w:ascii="Calibri" w:hAnsi="Calibri" w:cs="Times New Roman"/>
          <w:color w:val="auto"/>
          <w:lang w:val="en-GB"/>
        </w:rPr>
        <w:t>(hereinafter the “</w:t>
      </w:r>
      <w:r w:rsidR="009E10E4" w:rsidRPr="00E20ED8">
        <w:rPr>
          <w:rFonts w:ascii="Calibri" w:hAnsi="Calibri" w:cs="Times New Roman"/>
          <w:b/>
          <w:bCs/>
          <w:color w:val="auto"/>
          <w:lang w:val="en-GB"/>
        </w:rPr>
        <w:t>Licensee</w:t>
      </w:r>
      <w:r w:rsidR="009E10E4" w:rsidRPr="00E20ED8">
        <w:rPr>
          <w:rFonts w:ascii="Calibri" w:hAnsi="Calibri" w:cs="Times New Roman"/>
          <w:color w:val="auto"/>
          <w:lang w:val="en-GB"/>
        </w:rPr>
        <w:t>”);</w:t>
      </w:r>
    </w:p>
    <w:p w14:paraId="53CAB3B8"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(each a “Party” and collectively the “Parties”).</w:t>
      </w:r>
    </w:p>
    <w:p w14:paraId="225D6CDE"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b/>
          <w:bCs/>
          <w:color w:val="auto"/>
          <w:lang w:val="en-GB"/>
        </w:rPr>
        <w:t>WHEREAS</w:t>
      </w:r>
      <w:r w:rsidRPr="00E20ED8">
        <w:rPr>
          <w:rFonts w:ascii="Calibri" w:hAnsi="Calibri" w:cs="Times New Roman"/>
          <w:color w:val="auto"/>
          <w:lang w:val="en-GB"/>
        </w:rPr>
        <w:t>, the Parties have entered into a License and Support Services Agreement (the “Master Agreement”), under which the Licensor grants the Licensee certain rights to use and access the Software (as defined in the Master Agreement) and, under specified conditions, grants the Licensee limited access to the Source Code of the Software;</w:t>
      </w:r>
    </w:p>
    <w:p w14:paraId="75263E03"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b/>
          <w:bCs/>
          <w:color w:val="auto"/>
          <w:lang w:val="en-GB"/>
        </w:rPr>
        <w:t>WHEREAS</w:t>
      </w:r>
      <w:r w:rsidRPr="00E20ED8">
        <w:rPr>
          <w:rFonts w:ascii="Calibri" w:hAnsi="Calibri" w:cs="Times New Roman"/>
          <w:color w:val="auto"/>
          <w:lang w:val="en-GB"/>
        </w:rPr>
        <w:t>, the Licensor wishes to protect its Confidential Information, including but not limited to Source Code and other proprietary data, from unauthorized disclosure, use, or competition-related conduct;</w:t>
      </w:r>
    </w:p>
    <w:p w14:paraId="5725F03A"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b/>
          <w:bCs/>
          <w:color w:val="auto"/>
          <w:lang w:val="en-GB"/>
        </w:rPr>
        <w:t>NOW, THEREFORE</w:t>
      </w:r>
      <w:r w:rsidRPr="00E20ED8">
        <w:rPr>
          <w:rFonts w:ascii="Calibri" w:hAnsi="Calibri" w:cs="Times New Roman"/>
          <w:color w:val="auto"/>
          <w:lang w:val="en-GB"/>
        </w:rPr>
        <w:t>, in consideration of the mutual covenants herein, and intending to be legally bound, the Parties agree as follows:</w:t>
      </w:r>
    </w:p>
    <w:p w14:paraId="657DB3B7" w14:textId="77777777" w:rsidR="009E10E4" w:rsidRPr="00E20ED8" w:rsidRDefault="009E10E4" w:rsidP="009E10E4">
      <w:pPr>
        <w:ind w:left="540" w:hanging="540"/>
        <w:jc w:val="both"/>
        <w:rPr>
          <w:rFonts w:ascii="Calibri" w:hAnsi="Calibri" w:cs="Times New Roman"/>
          <w:color w:val="auto"/>
          <w:lang w:val="en-GB"/>
        </w:rPr>
      </w:pPr>
    </w:p>
    <w:p w14:paraId="22645ABC" w14:textId="77777777" w:rsidR="009E10E4" w:rsidRPr="00E20ED8" w:rsidRDefault="009E10E4" w:rsidP="009E10E4">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 xml:space="preserve">1. </w:t>
      </w:r>
      <w:r>
        <w:rPr>
          <w:rFonts w:ascii="Calibri" w:hAnsi="Calibri" w:cs="Times New Roman"/>
          <w:b/>
          <w:bCs/>
          <w:color w:val="auto"/>
          <w:lang w:val="en-GB"/>
        </w:rPr>
        <w:tab/>
      </w:r>
      <w:r w:rsidRPr="00E20ED8">
        <w:rPr>
          <w:rFonts w:ascii="Calibri" w:hAnsi="Calibri" w:cs="Times New Roman"/>
          <w:b/>
          <w:bCs/>
          <w:color w:val="auto"/>
          <w:lang w:val="en-GB"/>
        </w:rPr>
        <w:t>DEFINITIONS</w:t>
      </w:r>
    </w:p>
    <w:p w14:paraId="7EF99D4F"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1.1 </w:t>
      </w:r>
      <w:r>
        <w:rPr>
          <w:rFonts w:ascii="Calibri" w:hAnsi="Calibri" w:cs="Times New Roman"/>
          <w:color w:val="auto"/>
          <w:lang w:val="en-GB"/>
        </w:rPr>
        <w:tab/>
      </w:r>
      <w:r w:rsidRPr="00E20ED8">
        <w:rPr>
          <w:rFonts w:ascii="Calibri" w:hAnsi="Calibri" w:cs="Times New Roman"/>
          <w:b/>
          <w:bCs/>
          <w:color w:val="auto"/>
          <w:lang w:val="en-GB"/>
        </w:rPr>
        <w:t>Confidential Information</w:t>
      </w:r>
      <w:r w:rsidRPr="00E20ED8">
        <w:rPr>
          <w:rFonts w:ascii="Calibri" w:hAnsi="Calibri" w:cs="Times New Roman"/>
          <w:color w:val="auto"/>
          <w:lang w:val="en-GB"/>
        </w:rPr>
        <w:t xml:space="preserve">: Shall have the meaning assigned in the Master Agreement and shall, for purposes of this NDA/NCA, </w:t>
      </w:r>
      <w:r>
        <w:rPr>
          <w:rFonts w:ascii="Calibri" w:hAnsi="Calibri" w:cs="Times New Roman"/>
          <w:color w:val="auto"/>
          <w:lang w:val="en-GB"/>
        </w:rPr>
        <w:t xml:space="preserve">be supplemented to include </w:t>
      </w:r>
      <w:r w:rsidRPr="00E20ED8">
        <w:rPr>
          <w:rFonts w:ascii="Calibri" w:hAnsi="Calibri" w:cs="Times New Roman"/>
          <w:color w:val="auto"/>
          <w:lang w:val="en-GB"/>
        </w:rPr>
        <w:t>explicitly include any and all Source Code the Licensor provides to the Licensee</w:t>
      </w:r>
      <w:r>
        <w:rPr>
          <w:rFonts w:ascii="Calibri" w:hAnsi="Calibri" w:cs="Times New Roman"/>
          <w:color w:val="auto"/>
          <w:lang w:val="en-GB"/>
        </w:rPr>
        <w:t xml:space="preserve"> under this Agreement</w:t>
      </w:r>
      <w:r w:rsidRPr="00E20ED8">
        <w:rPr>
          <w:rFonts w:ascii="Calibri" w:hAnsi="Calibri" w:cs="Times New Roman"/>
          <w:color w:val="auto"/>
          <w:lang w:val="en-GB"/>
        </w:rPr>
        <w:t>.</w:t>
      </w:r>
    </w:p>
    <w:p w14:paraId="4914D6AF"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1.2 </w:t>
      </w:r>
      <w:r>
        <w:rPr>
          <w:rFonts w:ascii="Calibri" w:hAnsi="Calibri" w:cs="Times New Roman"/>
          <w:color w:val="auto"/>
          <w:lang w:val="en-GB"/>
        </w:rPr>
        <w:tab/>
      </w:r>
      <w:r w:rsidRPr="00E20ED8">
        <w:rPr>
          <w:rFonts w:ascii="Calibri" w:hAnsi="Calibri" w:cs="Times New Roman"/>
          <w:b/>
          <w:bCs/>
          <w:color w:val="auto"/>
          <w:lang w:val="en-GB"/>
        </w:rPr>
        <w:t>Source Code</w:t>
      </w:r>
      <w:r w:rsidRPr="00E20ED8">
        <w:rPr>
          <w:rFonts w:ascii="Calibri" w:hAnsi="Calibri" w:cs="Times New Roman"/>
          <w:color w:val="auto"/>
          <w:lang w:val="en-GB"/>
        </w:rPr>
        <w:t>: The human-readable form of computer software that the Licensor provides to the Licensee pursuant to the Master Agreement, including modifications and derivative works thereof, as more fully defined in the Master Agreement.</w:t>
      </w:r>
    </w:p>
    <w:p w14:paraId="3F7CE27F" w14:textId="77777777" w:rsidR="009E10E4" w:rsidRPr="00E20ED8" w:rsidRDefault="009E10E4" w:rsidP="009E10E4">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 xml:space="preserve">2. </w:t>
      </w:r>
      <w:r>
        <w:rPr>
          <w:rFonts w:ascii="Calibri" w:hAnsi="Calibri" w:cs="Times New Roman"/>
          <w:b/>
          <w:bCs/>
          <w:color w:val="auto"/>
          <w:lang w:val="en-GB"/>
        </w:rPr>
        <w:tab/>
      </w:r>
      <w:r w:rsidRPr="00E20ED8">
        <w:rPr>
          <w:rFonts w:ascii="Calibri" w:hAnsi="Calibri" w:cs="Times New Roman"/>
          <w:b/>
          <w:bCs/>
          <w:color w:val="auto"/>
          <w:lang w:val="en-GB"/>
        </w:rPr>
        <w:t>NON-DISCLOSURE OBLIGATIONS</w:t>
      </w:r>
    </w:p>
    <w:p w14:paraId="350A03B2"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2.1 </w:t>
      </w:r>
      <w:r>
        <w:rPr>
          <w:rFonts w:ascii="Calibri" w:hAnsi="Calibri" w:cs="Times New Roman"/>
          <w:color w:val="auto"/>
          <w:lang w:val="en-GB"/>
        </w:rPr>
        <w:tab/>
      </w:r>
      <w:r w:rsidRPr="00E20ED8">
        <w:rPr>
          <w:rFonts w:ascii="Calibri" w:hAnsi="Calibri" w:cs="Times New Roman"/>
          <w:b/>
          <w:bCs/>
          <w:color w:val="auto"/>
          <w:lang w:val="en-GB"/>
        </w:rPr>
        <w:t>Use and Disclosure</w:t>
      </w:r>
      <w:r w:rsidRPr="00E20ED8">
        <w:rPr>
          <w:rFonts w:ascii="Calibri" w:hAnsi="Calibri" w:cs="Times New Roman"/>
          <w:color w:val="auto"/>
          <w:lang w:val="en-GB"/>
        </w:rPr>
        <w:t>. The Licensee shall (i) use the Confidential Information and Source Code exclusively for the purposes authorized in the Master Agreement; and (ii) not disclose, publish, or disseminate the Confidential Information or Source Code to any third party other than permitted affiliates, agents, or contractors that have a need to know such information in connection with the Licensee’s authorized use, and who have executed written non-disclosure agreements no less restrictive than this NDA/NCA.</w:t>
      </w:r>
    </w:p>
    <w:p w14:paraId="5C3C8A2C"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2.2 </w:t>
      </w:r>
      <w:r>
        <w:rPr>
          <w:rFonts w:ascii="Calibri" w:hAnsi="Calibri" w:cs="Times New Roman"/>
          <w:color w:val="auto"/>
          <w:lang w:val="en-GB"/>
        </w:rPr>
        <w:tab/>
      </w:r>
      <w:r w:rsidRPr="00E20ED8">
        <w:rPr>
          <w:rFonts w:ascii="Calibri" w:hAnsi="Calibri" w:cs="Times New Roman"/>
          <w:b/>
          <w:bCs/>
          <w:color w:val="auto"/>
          <w:lang w:val="en-GB"/>
        </w:rPr>
        <w:t>Standard of Care</w:t>
      </w:r>
      <w:r w:rsidRPr="00E20ED8">
        <w:rPr>
          <w:rFonts w:ascii="Calibri" w:hAnsi="Calibri" w:cs="Times New Roman"/>
          <w:color w:val="auto"/>
          <w:lang w:val="en-GB"/>
        </w:rPr>
        <w:t>. The Licensee shall take all reasonable measures to prevent unauthorized use or disclosure of the Confidential Information and Source Code, at least as protective as the measures the Licensee uses to protect its own information of similar sensitivity, and in no event less than a reasonable standard of care.</w:t>
      </w:r>
    </w:p>
    <w:p w14:paraId="198D90E7"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2.3 </w:t>
      </w:r>
      <w:r>
        <w:rPr>
          <w:rFonts w:ascii="Calibri" w:hAnsi="Calibri" w:cs="Times New Roman"/>
          <w:color w:val="auto"/>
          <w:lang w:val="en-GB"/>
        </w:rPr>
        <w:tab/>
      </w:r>
      <w:r w:rsidRPr="00E20ED8">
        <w:rPr>
          <w:rFonts w:ascii="Calibri" w:hAnsi="Calibri" w:cs="Times New Roman"/>
          <w:b/>
          <w:bCs/>
          <w:color w:val="auto"/>
          <w:lang w:val="en-GB"/>
        </w:rPr>
        <w:t>Return or Destruction</w:t>
      </w:r>
      <w:r w:rsidRPr="00E20ED8">
        <w:rPr>
          <w:rFonts w:ascii="Calibri" w:hAnsi="Calibri" w:cs="Times New Roman"/>
          <w:color w:val="auto"/>
          <w:lang w:val="en-GB"/>
        </w:rPr>
        <w:t xml:space="preserve">. Upon (i) the termination or expiration of the Master Agreement, or (ii) the Licensor’s request, the Licensee shall immediately cease any and all use of the Confidential Information and Source Code and </w:t>
      </w:r>
      <w:r w:rsidRPr="00E20ED8">
        <w:rPr>
          <w:rFonts w:ascii="Calibri" w:hAnsi="Calibri" w:cs="Times New Roman"/>
          <w:color w:val="auto"/>
          <w:lang w:val="en-GB"/>
        </w:rPr>
        <w:lastRenderedPageBreak/>
        <w:t>shall promptly return or securely destroy all copies or embodiments of the Confidential Information and Source Code, except as otherwise required to be retained by law. Licensee shall certify its compliance with the foregoing obligation upon the Licensor’s request.</w:t>
      </w:r>
    </w:p>
    <w:p w14:paraId="66FCBC5E"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2.4 </w:t>
      </w:r>
      <w:r>
        <w:rPr>
          <w:rFonts w:ascii="Calibri" w:hAnsi="Calibri" w:cs="Times New Roman"/>
          <w:color w:val="auto"/>
          <w:lang w:val="en-GB"/>
        </w:rPr>
        <w:tab/>
      </w:r>
      <w:r w:rsidRPr="00E20ED8">
        <w:rPr>
          <w:rFonts w:ascii="Calibri" w:hAnsi="Calibri" w:cs="Times New Roman"/>
          <w:b/>
          <w:bCs/>
          <w:color w:val="auto"/>
          <w:lang w:val="en-GB"/>
        </w:rPr>
        <w:t>Exclusions</w:t>
      </w:r>
      <w:r w:rsidRPr="00E20ED8">
        <w:rPr>
          <w:rFonts w:ascii="Calibri" w:hAnsi="Calibri" w:cs="Times New Roman"/>
          <w:color w:val="auto"/>
          <w:lang w:val="en-GB"/>
        </w:rPr>
        <w:t>. Confidential Information does not include information that: (a) is or becomes publicly available without breach of this NDA/NCA; (b) was lawfully known to the Licensee without an obligation to keep it confidential; or (c) is independently developed by the Licensee without reference to, reliance upon, or use of the Confidential Information.</w:t>
      </w:r>
    </w:p>
    <w:p w14:paraId="08D342CF" w14:textId="77777777" w:rsidR="009E10E4" w:rsidRPr="00931460" w:rsidRDefault="009E10E4" w:rsidP="009E10E4">
      <w:pPr>
        <w:ind w:left="540" w:hanging="540"/>
        <w:jc w:val="both"/>
        <w:rPr>
          <w:rFonts w:ascii="Calibri" w:hAnsi="Calibri" w:cs="Times New Roman"/>
          <w:b/>
          <w:bCs/>
          <w:color w:val="auto"/>
          <w:lang w:val="en-GB"/>
        </w:rPr>
      </w:pPr>
      <w:r w:rsidRPr="00931460">
        <w:rPr>
          <w:rFonts w:ascii="Calibri" w:hAnsi="Calibri" w:cs="Times New Roman"/>
          <w:b/>
          <w:bCs/>
          <w:color w:val="auto"/>
          <w:lang w:val="en-GB"/>
        </w:rPr>
        <w:t xml:space="preserve">3. </w:t>
      </w:r>
      <w:r w:rsidRPr="00931460">
        <w:rPr>
          <w:rFonts w:ascii="Calibri" w:hAnsi="Calibri" w:cs="Times New Roman"/>
          <w:b/>
          <w:bCs/>
          <w:color w:val="auto"/>
          <w:lang w:val="en-GB"/>
        </w:rPr>
        <w:tab/>
        <w:t xml:space="preserve">NON-COMPETITION </w:t>
      </w:r>
    </w:p>
    <w:p w14:paraId="2BB6BED1" w14:textId="77777777" w:rsidR="009E10E4" w:rsidRPr="00E20ED8" w:rsidRDefault="009E10E4" w:rsidP="009E10E4">
      <w:pPr>
        <w:ind w:left="540" w:hanging="540"/>
        <w:jc w:val="both"/>
        <w:rPr>
          <w:rFonts w:ascii="Calibri" w:hAnsi="Calibri" w:cs="Times New Roman"/>
          <w:color w:val="auto"/>
          <w:lang w:val="en-GB"/>
        </w:rPr>
      </w:pPr>
      <w:r w:rsidRPr="003F5DCA">
        <w:rPr>
          <w:rFonts w:ascii="Calibri" w:hAnsi="Calibri" w:cs="Times New Roman"/>
          <w:color w:val="auto"/>
          <w:lang w:val="en-GB"/>
        </w:rPr>
        <w:t xml:space="preserve">3.1 </w:t>
      </w:r>
      <w:r w:rsidRPr="003F5DCA">
        <w:rPr>
          <w:rFonts w:ascii="Calibri" w:hAnsi="Calibri" w:cs="Times New Roman"/>
          <w:color w:val="auto"/>
          <w:lang w:val="en-GB"/>
        </w:rPr>
        <w:tab/>
      </w:r>
      <w:r w:rsidRPr="003F5DCA">
        <w:rPr>
          <w:rFonts w:ascii="Calibri" w:hAnsi="Calibri" w:cs="Times New Roman"/>
          <w:b/>
          <w:bCs/>
          <w:color w:val="auto"/>
          <w:lang w:val="en-GB"/>
        </w:rPr>
        <w:t>Non-Competition</w:t>
      </w:r>
      <w:r w:rsidRPr="003F5DCA">
        <w:rPr>
          <w:rFonts w:ascii="Calibri" w:hAnsi="Calibri" w:cs="Times New Roman"/>
          <w:color w:val="auto"/>
          <w:lang w:val="en-GB"/>
        </w:rPr>
        <w:t xml:space="preserve">. </w:t>
      </w:r>
      <w:r w:rsidRPr="00E20ED8">
        <w:rPr>
          <w:rFonts w:ascii="Calibri" w:hAnsi="Calibri" w:cs="Times New Roman"/>
          <w:color w:val="auto"/>
          <w:lang w:val="en-GB"/>
        </w:rPr>
        <w:t>The Licensee shall not use the Confidential Information and/or Source Code to create or assist in the creation of a competing product or service that is substantially similar to or otherwise competes with the Licensor’s Software.</w:t>
      </w:r>
    </w:p>
    <w:p w14:paraId="1CC31392" w14:textId="77777777" w:rsidR="009E10E4" w:rsidRPr="00E20ED8" w:rsidRDefault="009E10E4" w:rsidP="009E10E4">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 xml:space="preserve">4. </w:t>
      </w:r>
      <w:r>
        <w:rPr>
          <w:rFonts w:ascii="Calibri" w:hAnsi="Calibri" w:cs="Times New Roman"/>
          <w:b/>
          <w:bCs/>
          <w:color w:val="auto"/>
          <w:lang w:val="en-GB"/>
        </w:rPr>
        <w:tab/>
      </w:r>
      <w:r w:rsidRPr="00E20ED8">
        <w:rPr>
          <w:rFonts w:ascii="Calibri" w:hAnsi="Calibri" w:cs="Times New Roman"/>
          <w:b/>
          <w:bCs/>
          <w:color w:val="auto"/>
          <w:lang w:val="en-GB"/>
        </w:rPr>
        <w:t>TERM AND TERMINATION</w:t>
      </w:r>
    </w:p>
    <w:p w14:paraId="02D291FF"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4.1 </w:t>
      </w:r>
      <w:r>
        <w:rPr>
          <w:rFonts w:ascii="Calibri" w:hAnsi="Calibri" w:cs="Times New Roman"/>
          <w:color w:val="auto"/>
          <w:lang w:val="en-GB"/>
        </w:rPr>
        <w:tab/>
      </w:r>
      <w:r w:rsidRPr="00E20ED8">
        <w:rPr>
          <w:rFonts w:ascii="Calibri" w:hAnsi="Calibri" w:cs="Times New Roman"/>
          <w:b/>
          <w:bCs/>
          <w:color w:val="auto"/>
          <w:lang w:val="en-GB"/>
        </w:rPr>
        <w:t>Term</w:t>
      </w:r>
      <w:r w:rsidRPr="00E20ED8">
        <w:rPr>
          <w:rFonts w:ascii="Calibri" w:hAnsi="Calibri" w:cs="Times New Roman"/>
          <w:color w:val="auto"/>
          <w:lang w:val="en-GB"/>
        </w:rPr>
        <w:t>. This NDA/NCA becomes effective as of the Effective Date and shall remain in effect for as long as the Master Agreement is in effect, plus any additional periods specified herein or mandated by law.</w:t>
      </w:r>
    </w:p>
    <w:p w14:paraId="6337A1D3"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4.2 </w:t>
      </w:r>
      <w:r>
        <w:rPr>
          <w:rFonts w:ascii="Calibri" w:hAnsi="Calibri" w:cs="Times New Roman"/>
          <w:color w:val="auto"/>
          <w:lang w:val="en-GB"/>
        </w:rPr>
        <w:tab/>
      </w:r>
      <w:r w:rsidRPr="00E20ED8">
        <w:rPr>
          <w:rFonts w:ascii="Calibri" w:hAnsi="Calibri" w:cs="Times New Roman"/>
          <w:b/>
          <w:bCs/>
          <w:color w:val="auto"/>
          <w:lang w:val="en-GB"/>
        </w:rPr>
        <w:t>Survival</w:t>
      </w:r>
      <w:r w:rsidRPr="00E20ED8">
        <w:rPr>
          <w:rFonts w:ascii="Calibri" w:hAnsi="Calibri" w:cs="Times New Roman"/>
          <w:color w:val="auto"/>
          <w:lang w:val="en-GB"/>
        </w:rPr>
        <w:t xml:space="preserve">. The obligations of non-disclosure (Section 2) shall survive the termination or expiration of this NDA/NCA for </w:t>
      </w:r>
      <w:r>
        <w:rPr>
          <w:rFonts w:ascii="Calibri" w:hAnsi="Calibri" w:cs="Times New Roman"/>
          <w:color w:val="auto"/>
          <w:lang w:val="en-GB"/>
        </w:rPr>
        <w:t xml:space="preserve">so long as the Confidential Information qualifies as a trade secret under applicable law, or </w:t>
      </w:r>
      <w:r w:rsidRPr="00E20ED8">
        <w:rPr>
          <w:rFonts w:ascii="Calibri" w:hAnsi="Calibri" w:cs="Times New Roman"/>
          <w:color w:val="auto"/>
          <w:lang w:val="en-GB"/>
        </w:rPr>
        <w:t>for five (5) years from the date of such termination or expiration</w:t>
      </w:r>
      <w:r>
        <w:rPr>
          <w:rFonts w:ascii="Calibri" w:hAnsi="Calibri" w:cs="Times New Roman"/>
          <w:color w:val="auto"/>
          <w:lang w:val="en-GB"/>
        </w:rPr>
        <w:t>, whichever is longer</w:t>
      </w:r>
      <w:r w:rsidRPr="00E20ED8">
        <w:rPr>
          <w:rFonts w:ascii="Calibri" w:hAnsi="Calibri" w:cs="Times New Roman"/>
          <w:color w:val="auto"/>
          <w:lang w:val="en-GB"/>
        </w:rPr>
        <w:t>.</w:t>
      </w:r>
    </w:p>
    <w:p w14:paraId="684812B7" w14:textId="77777777" w:rsidR="009E10E4" w:rsidRPr="00E20ED8" w:rsidRDefault="009E10E4" w:rsidP="009E10E4">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 xml:space="preserve">5. </w:t>
      </w:r>
      <w:r>
        <w:rPr>
          <w:rFonts w:ascii="Calibri" w:hAnsi="Calibri" w:cs="Times New Roman"/>
          <w:b/>
          <w:bCs/>
          <w:color w:val="auto"/>
          <w:lang w:val="en-GB"/>
        </w:rPr>
        <w:tab/>
      </w:r>
      <w:r w:rsidRPr="00E20ED8">
        <w:rPr>
          <w:rFonts w:ascii="Calibri" w:hAnsi="Calibri" w:cs="Times New Roman"/>
          <w:b/>
          <w:bCs/>
          <w:color w:val="auto"/>
          <w:lang w:val="en-GB"/>
        </w:rPr>
        <w:t>REMEDIES</w:t>
      </w:r>
    </w:p>
    <w:p w14:paraId="3002D903"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5.1 </w:t>
      </w:r>
      <w:r>
        <w:rPr>
          <w:rFonts w:ascii="Calibri" w:hAnsi="Calibri" w:cs="Times New Roman"/>
          <w:color w:val="auto"/>
          <w:lang w:val="en-GB"/>
        </w:rPr>
        <w:tab/>
      </w:r>
      <w:r w:rsidRPr="00E20ED8">
        <w:rPr>
          <w:rFonts w:ascii="Calibri" w:hAnsi="Calibri" w:cs="Times New Roman"/>
          <w:b/>
          <w:bCs/>
          <w:color w:val="auto"/>
          <w:lang w:val="en-GB"/>
        </w:rPr>
        <w:t>Injunctive Relief</w:t>
      </w:r>
      <w:r w:rsidRPr="00E20ED8">
        <w:rPr>
          <w:rFonts w:ascii="Calibri" w:hAnsi="Calibri" w:cs="Times New Roman"/>
          <w:color w:val="auto"/>
          <w:lang w:val="en-GB"/>
        </w:rPr>
        <w:t>. The Licensee acknowledges that a breach of this NDA/NCA by the Licensee may cause the Licensor irreparable harm that cannot be fully remedied by monetary damages. Accordingly, the Licensor may seek injunctive relief in addition to any other remedies available at law or in equity.</w:t>
      </w:r>
    </w:p>
    <w:p w14:paraId="784C1C75" w14:textId="77777777" w:rsidR="009E10E4" w:rsidRPr="00E20ED8" w:rsidRDefault="009E10E4" w:rsidP="009E10E4">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 xml:space="preserve">6. </w:t>
      </w:r>
      <w:r>
        <w:rPr>
          <w:rFonts w:ascii="Calibri" w:hAnsi="Calibri" w:cs="Times New Roman"/>
          <w:b/>
          <w:bCs/>
          <w:color w:val="auto"/>
          <w:lang w:val="en-GB"/>
        </w:rPr>
        <w:tab/>
      </w:r>
      <w:r w:rsidRPr="00E20ED8">
        <w:rPr>
          <w:rFonts w:ascii="Calibri" w:hAnsi="Calibri" w:cs="Times New Roman"/>
          <w:b/>
          <w:bCs/>
          <w:color w:val="auto"/>
          <w:lang w:val="en-GB"/>
        </w:rPr>
        <w:t>MISCELLANEOUS</w:t>
      </w:r>
    </w:p>
    <w:p w14:paraId="1AECA293"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6.1 </w:t>
      </w:r>
      <w:r>
        <w:rPr>
          <w:rFonts w:ascii="Calibri" w:hAnsi="Calibri" w:cs="Times New Roman"/>
          <w:color w:val="auto"/>
          <w:lang w:val="en-GB"/>
        </w:rPr>
        <w:tab/>
      </w:r>
      <w:r w:rsidRPr="00E20ED8">
        <w:rPr>
          <w:rFonts w:ascii="Calibri" w:hAnsi="Calibri" w:cs="Times New Roman"/>
          <w:b/>
          <w:bCs/>
          <w:color w:val="auto"/>
          <w:lang w:val="en-GB"/>
        </w:rPr>
        <w:t>Entire Agreement</w:t>
      </w:r>
      <w:r w:rsidRPr="00E20ED8">
        <w:rPr>
          <w:rFonts w:ascii="Calibri" w:hAnsi="Calibri" w:cs="Times New Roman"/>
          <w:color w:val="auto"/>
          <w:lang w:val="en-GB"/>
        </w:rPr>
        <w:t>. This NDA/NCA supplements the Master Agreement solely with respect to matters concerning the protection of Confidential Information, Source Code, and the restrictions in Section 3. It supersedes any prior oral or written understandings on these points.</w:t>
      </w:r>
    </w:p>
    <w:p w14:paraId="0325B4CD"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6.2 </w:t>
      </w:r>
      <w:r>
        <w:rPr>
          <w:rFonts w:ascii="Calibri" w:hAnsi="Calibri" w:cs="Times New Roman"/>
          <w:color w:val="auto"/>
          <w:lang w:val="en-GB"/>
        </w:rPr>
        <w:tab/>
      </w:r>
      <w:r w:rsidRPr="00E20ED8">
        <w:rPr>
          <w:rFonts w:ascii="Calibri" w:hAnsi="Calibri" w:cs="Times New Roman"/>
          <w:b/>
          <w:bCs/>
          <w:color w:val="auto"/>
          <w:lang w:val="en-GB"/>
        </w:rPr>
        <w:t>Governing Law</w:t>
      </w:r>
      <w:r w:rsidRPr="00E20ED8">
        <w:rPr>
          <w:rFonts w:ascii="Calibri" w:hAnsi="Calibri" w:cs="Times New Roman"/>
          <w:color w:val="auto"/>
          <w:lang w:val="en-GB"/>
        </w:rPr>
        <w:t>. This NDA/NCA shall be governed by, and construed in accordance with, the law specified in the Master Agreement.</w:t>
      </w:r>
    </w:p>
    <w:p w14:paraId="5895D651"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6.3 </w:t>
      </w:r>
      <w:r>
        <w:rPr>
          <w:rFonts w:ascii="Calibri" w:hAnsi="Calibri" w:cs="Times New Roman"/>
          <w:color w:val="auto"/>
          <w:lang w:val="en-GB"/>
        </w:rPr>
        <w:tab/>
      </w:r>
      <w:r w:rsidRPr="00E20ED8">
        <w:rPr>
          <w:rFonts w:ascii="Calibri" w:hAnsi="Calibri" w:cs="Times New Roman"/>
          <w:b/>
          <w:bCs/>
          <w:color w:val="auto"/>
          <w:lang w:val="en-GB"/>
        </w:rPr>
        <w:t>Severability</w:t>
      </w:r>
      <w:r w:rsidRPr="00E20ED8">
        <w:rPr>
          <w:rFonts w:ascii="Calibri" w:hAnsi="Calibri" w:cs="Times New Roman"/>
          <w:color w:val="auto"/>
          <w:lang w:val="en-GB"/>
        </w:rPr>
        <w:t>. If any provision of this NDA/NCA is held to be invalid or unenforceable, all other provisions will remain in full force and effect.</w:t>
      </w:r>
    </w:p>
    <w:p w14:paraId="074BC3F6" w14:textId="77777777" w:rsidR="009E10E4" w:rsidRPr="00E20ED8"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 xml:space="preserve">6.4 </w:t>
      </w:r>
      <w:r>
        <w:rPr>
          <w:rFonts w:ascii="Calibri" w:hAnsi="Calibri" w:cs="Times New Roman"/>
          <w:color w:val="auto"/>
          <w:lang w:val="en-GB"/>
        </w:rPr>
        <w:tab/>
      </w:r>
      <w:r w:rsidRPr="00E20ED8">
        <w:rPr>
          <w:rFonts w:ascii="Calibri" w:hAnsi="Calibri" w:cs="Times New Roman"/>
          <w:b/>
          <w:bCs/>
          <w:color w:val="auto"/>
          <w:lang w:val="en-GB"/>
        </w:rPr>
        <w:t>Counterparts</w:t>
      </w:r>
      <w:r w:rsidRPr="00E20ED8">
        <w:rPr>
          <w:rFonts w:ascii="Calibri" w:hAnsi="Calibri" w:cs="Times New Roman"/>
          <w:color w:val="auto"/>
          <w:lang w:val="en-GB"/>
        </w:rPr>
        <w:t>. This NDA/NCA may be executed in counterparts, each of which will be deemed an original, but all of which together shall constitute one and the same document.</w:t>
      </w:r>
    </w:p>
    <w:p w14:paraId="00A97961" w14:textId="77777777" w:rsidR="009E10E4" w:rsidRDefault="009E10E4" w:rsidP="009E10E4">
      <w:pPr>
        <w:ind w:left="540" w:hanging="540"/>
        <w:jc w:val="both"/>
        <w:rPr>
          <w:rFonts w:ascii="Calibri" w:hAnsi="Calibri" w:cs="Times New Roman"/>
          <w:color w:val="auto"/>
          <w:lang w:val="en-GB"/>
        </w:rPr>
      </w:pPr>
      <w:r w:rsidRPr="00E20ED8">
        <w:rPr>
          <w:rFonts w:ascii="Calibri" w:hAnsi="Calibri" w:cs="Times New Roman"/>
          <w:color w:val="auto"/>
          <w:lang w:val="en-GB"/>
        </w:rPr>
        <w:t>IN WITNESS WHEREOF, the Parties have caused this NDA/NCA to be executed by their duly authorized representatives as of the Effective Date.</w:t>
      </w:r>
    </w:p>
    <w:p w14:paraId="0F2F2759" w14:textId="77777777" w:rsidR="004F6ACE" w:rsidRDefault="004F6ACE" w:rsidP="009E10E4">
      <w:pPr>
        <w:ind w:left="540" w:hanging="540"/>
        <w:jc w:val="both"/>
        <w:rPr>
          <w:rFonts w:ascii="Calibri" w:hAnsi="Calibri" w:cs="Times New Roman"/>
          <w:color w:val="auto"/>
          <w:lang w:val="en-GB"/>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764"/>
      </w:tblGrid>
      <w:tr w:rsidR="004F6ACE" w14:paraId="73B9CB8C" w14:textId="77777777" w:rsidTr="004F6ACE">
        <w:tc>
          <w:tcPr>
            <w:tcW w:w="4868" w:type="dxa"/>
          </w:tcPr>
          <w:p w14:paraId="6221E246" w14:textId="77777777" w:rsidR="004F6ACE" w:rsidRDefault="004F6ACE" w:rsidP="004F6ACE">
            <w:pPr>
              <w:ind w:left="540" w:hanging="540"/>
              <w:jc w:val="both"/>
              <w:rPr>
                <w:rFonts w:ascii="Calibri" w:hAnsi="Calibri" w:cs="Times New Roman"/>
                <w:b/>
                <w:bCs/>
                <w:color w:val="auto"/>
                <w:lang w:val="en-GB"/>
              </w:rPr>
            </w:pPr>
            <w:r w:rsidRPr="00E20ED8">
              <w:rPr>
                <w:rFonts w:ascii="Calibri" w:hAnsi="Calibri" w:cs="Times New Roman"/>
                <w:b/>
                <w:bCs/>
                <w:color w:val="auto"/>
                <w:lang w:val="en-GB"/>
              </w:rPr>
              <w:t>Licensor:</w:t>
            </w:r>
            <w:r>
              <w:rPr>
                <w:rFonts w:ascii="Calibri" w:hAnsi="Calibri" w:cs="Times New Roman"/>
                <w:b/>
                <w:bCs/>
                <w:color w:val="auto"/>
                <w:lang w:val="en-GB"/>
              </w:rPr>
              <w:t xml:space="preserve"> </w:t>
            </w:r>
            <w:r w:rsidRPr="00E20ED8">
              <w:rPr>
                <w:rFonts w:ascii="Calibri" w:hAnsi="Calibri" w:cs="Times New Roman"/>
                <w:b/>
                <w:bCs/>
                <w:color w:val="auto"/>
                <w:lang w:val="en-GB"/>
              </w:rPr>
              <w:t>SharpCrafters s.r.o.</w:t>
            </w:r>
          </w:p>
          <w:p w14:paraId="3EB3A097" w14:textId="2F8AE2DD" w:rsidR="004F6ACE" w:rsidRDefault="004F6ACE" w:rsidP="004F6ACE">
            <w:pPr>
              <w:ind w:left="540"/>
              <w:rPr>
                <w:rFonts w:ascii="Calibri" w:hAnsi="Calibri" w:cs="Times New Roman"/>
                <w:color w:val="auto"/>
                <w:lang w:val="en-GB"/>
              </w:rPr>
            </w:pPr>
            <w:r w:rsidRPr="00E20ED8">
              <w:rPr>
                <w:rFonts w:ascii="Calibri" w:hAnsi="Calibri" w:cs="Times New Roman"/>
                <w:color w:val="auto"/>
                <w:lang w:val="en-GB"/>
              </w:rPr>
              <w:t xml:space="preserve">Signature: </w:t>
            </w:r>
            <w:r>
              <w:rPr>
                <w:rFonts w:ascii="Calibri" w:hAnsi="Calibri" w:cs="Times New Roman"/>
                <w:color w:val="auto"/>
                <w:lang w:val="en-GB"/>
              </w:rPr>
              <w:br/>
            </w:r>
            <w:r w:rsidRPr="00E20ED8">
              <w:rPr>
                <w:rFonts w:ascii="Calibri" w:hAnsi="Calibri" w:cs="Times New Roman"/>
                <w:color w:val="auto"/>
                <w:lang w:val="en-GB"/>
              </w:rPr>
              <w:br/>
              <w:t xml:space="preserve">Name &amp; Title: </w:t>
            </w:r>
            <w:r>
              <w:rPr>
                <w:rFonts w:ascii="Calibri" w:hAnsi="Calibri" w:cs="Times New Roman"/>
                <w:color w:val="auto"/>
                <w:lang w:val="en-GB"/>
              </w:rPr>
              <w:t>Gael Fraiteur</w:t>
            </w:r>
            <w:r w:rsidR="00647283">
              <w:rPr>
                <w:rFonts w:ascii="Calibri" w:hAnsi="Calibri" w:cs="Times New Roman"/>
                <w:color w:val="auto"/>
                <w:lang w:val="en-GB"/>
              </w:rPr>
              <w:t>, Director</w:t>
            </w:r>
            <w:r>
              <w:rPr>
                <w:rFonts w:ascii="Calibri" w:hAnsi="Calibri" w:cs="Times New Roman"/>
                <w:color w:val="auto"/>
                <w:lang w:val="en-GB"/>
              </w:rPr>
              <w:br/>
            </w:r>
            <w:r w:rsidRPr="00E20ED8">
              <w:rPr>
                <w:rFonts w:ascii="Calibri" w:hAnsi="Calibri" w:cs="Times New Roman"/>
                <w:color w:val="auto"/>
                <w:lang w:val="en-GB"/>
              </w:rPr>
              <w:br/>
              <w:t xml:space="preserve">Date: </w:t>
            </w:r>
          </w:p>
        </w:tc>
        <w:tc>
          <w:tcPr>
            <w:tcW w:w="4868" w:type="dxa"/>
          </w:tcPr>
          <w:p w14:paraId="277793B2" w14:textId="04D52802" w:rsidR="004F6ACE" w:rsidRDefault="004F6ACE" w:rsidP="004F6ACE">
            <w:pPr>
              <w:ind w:left="540" w:hanging="540"/>
              <w:rPr>
                <w:rFonts w:ascii="Calibri" w:hAnsi="Calibri" w:cs="Times New Roman"/>
                <w:b/>
                <w:bCs/>
                <w:color w:val="auto"/>
                <w:lang w:val="en-GB"/>
              </w:rPr>
            </w:pPr>
            <w:r w:rsidRPr="00E20ED8">
              <w:rPr>
                <w:rFonts w:ascii="Calibri" w:hAnsi="Calibri" w:cs="Times New Roman"/>
                <w:b/>
                <w:bCs/>
                <w:color w:val="auto"/>
                <w:lang w:val="en-GB"/>
              </w:rPr>
              <w:t xml:space="preserve">Licensee: </w:t>
            </w:r>
            <w:r>
              <w:rPr>
                <w:rFonts w:ascii="Calibri" w:hAnsi="Calibri" w:cs="Times New Roman"/>
                <w:b/>
                <w:bCs/>
                <w:color w:val="auto"/>
                <w:lang w:val="en-GB"/>
              </w:rPr>
              <w:t xml:space="preserve"> </w:t>
            </w:r>
          </w:p>
          <w:p w14:paraId="0C249D78" w14:textId="0DAEE570" w:rsidR="004F6ACE" w:rsidRDefault="004F6ACE" w:rsidP="004F6ACE">
            <w:pPr>
              <w:ind w:left="540"/>
              <w:rPr>
                <w:rFonts w:ascii="Calibri" w:hAnsi="Calibri" w:cs="Times New Roman"/>
                <w:color w:val="auto"/>
                <w:lang w:val="en-GB"/>
              </w:rPr>
            </w:pPr>
            <w:r w:rsidRPr="00E20ED8">
              <w:rPr>
                <w:rFonts w:ascii="Calibri" w:hAnsi="Calibri" w:cs="Times New Roman"/>
                <w:color w:val="auto"/>
                <w:lang w:val="en-GB"/>
              </w:rPr>
              <w:t xml:space="preserve">Signature: </w:t>
            </w:r>
            <w:r w:rsidR="00190B68" w:rsidRPr="00190B68">
              <w:rPr>
                <w:rFonts w:ascii="Calibri" w:hAnsi="Calibri" w:cs="Times New Roman"/>
                <w:color w:val="auto"/>
                <w:highlight w:val="yellow"/>
                <w:lang w:val="en-GB"/>
              </w:rPr>
              <w:t>__________________________</w:t>
            </w:r>
            <w:r w:rsidR="00190B68">
              <w:rPr>
                <w:rFonts w:ascii="Calibri" w:hAnsi="Calibri" w:cs="Times New Roman"/>
                <w:color w:val="auto"/>
                <w:highlight w:val="yellow"/>
                <w:lang w:val="en-GB"/>
              </w:rPr>
              <w:t>____</w:t>
            </w:r>
            <w:r w:rsidR="00190B68" w:rsidRPr="00190B68">
              <w:rPr>
                <w:rFonts w:ascii="Calibri" w:hAnsi="Calibri" w:cs="Times New Roman"/>
                <w:color w:val="auto"/>
                <w:highlight w:val="yellow"/>
                <w:lang w:val="en-GB"/>
              </w:rPr>
              <w:t>_</w:t>
            </w:r>
            <w:r>
              <w:rPr>
                <w:rFonts w:ascii="Calibri" w:hAnsi="Calibri" w:cs="Times New Roman"/>
                <w:color w:val="auto"/>
                <w:lang w:val="en-GB"/>
              </w:rPr>
              <w:br/>
            </w:r>
            <w:r>
              <w:rPr>
                <w:rFonts w:ascii="Calibri" w:hAnsi="Calibri" w:cs="Times New Roman"/>
                <w:color w:val="auto"/>
                <w:lang w:val="en-GB"/>
              </w:rPr>
              <w:br/>
            </w:r>
            <w:r w:rsidRPr="00E20ED8">
              <w:rPr>
                <w:rFonts w:ascii="Calibri" w:hAnsi="Calibri" w:cs="Times New Roman"/>
                <w:color w:val="auto"/>
                <w:lang w:val="en-GB"/>
              </w:rPr>
              <w:t xml:space="preserve">Name &amp; Title: </w:t>
            </w:r>
            <w:r w:rsidR="00190B68">
              <w:rPr>
                <w:rFonts w:ascii="Calibri" w:hAnsi="Calibri" w:cs="Times New Roman"/>
                <w:color w:val="auto"/>
                <w:lang w:val="en-GB"/>
              </w:rPr>
              <w:t xml:space="preserve"> </w:t>
            </w:r>
            <w:r w:rsidR="00190B68" w:rsidRPr="00190B68">
              <w:rPr>
                <w:rFonts w:ascii="Calibri" w:hAnsi="Calibri" w:cs="Times New Roman"/>
                <w:color w:val="auto"/>
                <w:highlight w:val="yellow"/>
                <w:lang w:val="en-GB"/>
              </w:rPr>
              <w:t>___________________________</w:t>
            </w:r>
            <w:r>
              <w:rPr>
                <w:rFonts w:ascii="Calibri" w:hAnsi="Calibri" w:cs="Times New Roman"/>
                <w:color w:val="auto"/>
                <w:lang w:val="en-GB"/>
              </w:rPr>
              <w:br/>
            </w:r>
            <w:r>
              <w:rPr>
                <w:rFonts w:ascii="Calibri" w:hAnsi="Calibri" w:cs="Times New Roman"/>
                <w:color w:val="auto"/>
                <w:lang w:val="en-GB"/>
              </w:rPr>
              <w:br/>
            </w:r>
            <w:r w:rsidRPr="00E20ED8">
              <w:rPr>
                <w:rFonts w:ascii="Calibri" w:hAnsi="Calibri" w:cs="Times New Roman"/>
                <w:color w:val="auto"/>
                <w:lang w:val="en-GB"/>
              </w:rPr>
              <w:t xml:space="preserve">Date: </w:t>
            </w:r>
            <w:r w:rsidR="00190B68" w:rsidRPr="00190B68">
              <w:rPr>
                <w:rFonts w:ascii="Calibri" w:hAnsi="Calibri" w:cs="Times New Roman"/>
                <w:color w:val="auto"/>
                <w:highlight w:val="yellow"/>
                <w:lang w:val="en-GB"/>
              </w:rPr>
              <w:t>__________________________________</w:t>
            </w:r>
          </w:p>
        </w:tc>
      </w:tr>
    </w:tbl>
    <w:p w14:paraId="32681037" w14:textId="77777777" w:rsidR="00342228" w:rsidRDefault="00342228"/>
    <w:sectPr w:rsidR="00342228" w:rsidSect="009E10E4">
      <w:footerReference w:type="default" r:id="rId1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38BBA" w14:textId="77777777" w:rsidR="00092E46" w:rsidRDefault="00092E46">
      <w:pPr>
        <w:spacing w:after="0" w:line="240" w:lineRule="auto"/>
      </w:pPr>
      <w:r>
        <w:separator/>
      </w:r>
    </w:p>
  </w:endnote>
  <w:endnote w:type="continuationSeparator" w:id="0">
    <w:p w14:paraId="5CE6DD7B" w14:textId="77777777" w:rsidR="00092E46" w:rsidRDefault="0009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678D" w14:textId="77777777" w:rsidR="009E10E4" w:rsidRPr="005B1BE9" w:rsidRDefault="009E10E4">
    <w:pPr>
      <w:pStyle w:val="Footer"/>
      <w:jc w:val="center"/>
      <w:rPr>
        <w:rFonts w:ascii="Times New Roman" w:hAnsi="Times New Roman"/>
      </w:rPr>
    </w:pPr>
    <w:r w:rsidRPr="000E7BC2">
      <w:rPr>
        <w:rFonts w:ascii="Times New Roman" w:hAnsi="Times New Roman"/>
      </w:rPr>
      <w:fldChar w:fldCharType="begin"/>
    </w:r>
    <w:r w:rsidRPr="000E7BC2">
      <w:rPr>
        <w:rFonts w:ascii="Times New Roman" w:hAnsi="Times New Roman"/>
      </w:rPr>
      <w:instrText xml:space="preserve"> PAGE </w:instrText>
    </w:r>
    <w:r w:rsidRPr="005B1BE9">
      <w:rPr>
        <w:rFonts w:ascii="Times New Roman" w:hAnsi="Times New Roman"/>
      </w:rPr>
      <w:instrText xml:space="preserve">  \* MERGEFORMAT </w:instrText>
    </w:r>
    <w:r w:rsidRPr="000E7BC2">
      <w:rPr>
        <w:rFonts w:ascii="Times New Roman" w:hAnsi="Times New Roman"/>
      </w:rPr>
      <w:fldChar w:fldCharType="separate"/>
    </w:r>
    <w:r>
      <w:rPr>
        <w:rFonts w:ascii="Times New Roman" w:hAnsi="Times New Roman"/>
        <w:noProof/>
      </w:rPr>
      <w:t>13</w:t>
    </w:r>
    <w:r w:rsidRPr="000E7BC2">
      <w:rPr>
        <w:rFonts w:ascii="Times New Roman" w:hAnsi="Times New Roman"/>
      </w:rPr>
      <w:fldChar w:fldCharType="end"/>
    </w:r>
  </w:p>
  <w:p w14:paraId="7DE96948" w14:textId="77777777" w:rsidR="009E10E4" w:rsidRPr="005B1BE9" w:rsidRDefault="009E10E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FE8A7" w14:textId="77777777" w:rsidR="00092E46" w:rsidRDefault="00092E46">
      <w:pPr>
        <w:spacing w:after="0" w:line="240" w:lineRule="auto"/>
      </w:pPr>
      <w:r>
        <w:separator/>
      </w:r>
    </w:p>
  </w:footnote>
  <w:footnote w:type="continuationSeparator" w:id="0">
    <w:p w14:paraId="1E97F41C" w14:textId="77777777" w:rsidR="00092E46" w:rsidRDefault="00092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06F2F"/>
    <w:multiLevelType w:val="multilevel"/>
    <w:tmpl w:val="75BC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22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E4"/>
    <w:rsid w:val="00024DB4"/>
    <w:rsid w:val="00092E46"/>
    <w:rsid w:val="000C0AF7"/>
    <w:rsid w:val="00190B68"/>
    <w:rsid w:val="002F63A9"/>
    <w:rsid w:val="00342228"/>
    <w:rsid w:val="0047294D"/>
    <w:rsid w:val="004A670A"/>
    <w:rsid w:val="004F6ACE"/>
    <w:rsid w:val="00647283"/>
    <w:rsid w:val="006B10F6"/>
    <w:rsid w:val="009E10E4"/>
    <w:rsid w:val="00A66EE0"/>
    <w:rsid w:val="00AA02A2"/>
    <w:rsid w:val="00BE0A0F"/>
    <w:rsid w:val="00C115D2"/>
    <w:rsid w:val="00C622ED"/>
    <w:rsid w:val="00CC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7CE9"/>
  <w15:chartTrackingRefBased/>
  <w15:docId w15:val="{F749CEFE-9A29-4109-A1B6-5E2264A0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0E4"/>
    <w:pPr>
      <w:spacing w:after="120" w:line="285" w:lineRule="atLeast"/>
    </w:pPr>
    <w:rPr>
      <w:rFonts w:ascii="Trebuchet MS" w:eastAsia="Times New Roman" w:hAnsi="Trebuchet MS" w:cs="Trebuchet MS"/>
      <w:color w:val="333333"/>
      <w:kern w:val="0"/>
      <w:sz w:val="20"/>
      <w:szCs w:val="20"/>
      <w14:ligatures w14:val="none"/>
    </w:rPr>
  </w:style>
  <w:style w:type="paragraph" w:styleId="Heading1">
    <w:name w:val="heading 1"/>
    <w:basedOn w:val="Normal"/>
    <w:next w:val="Normal"/>
    <w:link w:val="Heading1Char"/>
    <w:uiPriority w:val="9"/>
    <w:qFormat/>
    <w:rsid w:val="009E1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9E1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9E1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0E4"/>
    <w:rPr>
      <w:rFonts w:eastAsiaTheme="majorEastAsia" w:cstheme="majorBidi"/>
      <w:color w:val="272727" w:themeColor="text1" w:themeTint="D8"/>
    </w:rPr>
  </w:style>
  <w:style w:type="paragraph" w:styleId="Title">
    <w:name w:val="Title"/>
    <w:basedOn w:val="Normal"/>
    <w:next w:val="Normal"/>
    <w:link w:val="TitleChar"/>
    <w:uiPriority w:val="10"/>
    <w:qFormat/>
    <w:rsid w:val="009E1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0E4"/>
    <w:pPr>
      <w:spacing w:before="160"/>
      <w:jc w:val="center"/>
    </w:pPr>
    <w:rPr>
      <w:i/>
      <w:iCs/>
      <w:color w:val="404040" w:themeColor="text1" w:themeTint="BF"/>
    </w:rPr>
  </w:style>
  <w:style w:type="character" w:customStyle="1" w:styleId="QuoteChar">
    <w:name w:val="Quote Char"/>
    <w:basedOn w:val="DefaultParagraphFont"/>
    <w:link w:val="Quote"/>
    <w:uiPriority w:val="29"/>
    <w:rsid w:val="009E10E4"/>
    <w:rPr>
      <w:i/>
      <w:iCs/>
      <w:color w:val="404040" w:themeColor="text1" w:themeTint="BF"/>
    </w:rPr>
  </w:style>
  <w:style w:type="paragraph" w:styleId="ListParagraph">
    <w:name w:val="List Paragraph"/>
    <w:basedOn w:val="Normal"/>
    <w:uiPriority w:val="34"/>
    <w:qFormat/>
    <w:rsid w:val="009E10E4"/>
    <w:pPr>
      <w:ind w:left="720"/>
      <w:contextualSpacing/>
    </w:pPr>
  </w:style>
  <w:style w:type="character" w:styleId="IntenseEmphasis">
    <w:name w:val="Intense Emphasis"/>
    <w:basedOn w:val="DefaultParagraphFont"/>
    <w:uiPriority w:val="21"/>
    <w:qFormat/>
    <w:rsid w:val="009E10E4"/>
    <w:rPr>
      <w:i/>
      <w:iCs/>
      <w:color w:val="0F4761" w:themeColor="accent1" w:themeShade="BF"/>
    </w:rPr>
  </w:style>
  <w:style w:type="paragraph" w:styleId="IntenseQuote">
    <w:name w:val="Intense Quote"/>
    <w:basedOn w:val="Normal"/>
    <w:next w:val="Normal"/>
    <w:link w:val="IntenseQuoteChar"/>
    <w:uiPriority w:val="30"/>
    <w:qFormat/>
    <w:rsid w:val="009E1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0E4"/>
    <w:rPr>
      <w:i/>
      <w:iCs/>
      <w:color w:val="0F4761" w:themeColor="accent1" w:themeShade="BF"/>
    </w:rPr>
  </w:style>
  <w:style w:type="character" w:styleId="IntenseReference">
    <w:name w:val="Intense Reference"/>
    <w:basedOn w:val="DefaultParagraphFont"/>
    <w:uiPriority w:val="32"/>
    <w:qFormat/>
    <w:rsid w:val="009E10E4"/>
    <w:rPr>
      <w:b/>
      <w:bCs/>
      <w:smallCaps/>
      <w:color w:val="0F4761" w:themeColor="accent1" w:themeShade="BF"/>
      <w:spacing w:val="5"/>
    </w:rPr>
  </w:style>
  <w:style w:type="paragraph" w:styleId="Header">
    <w:name w:val="header"/>
    <w:basedOn w:val="Normal"/>
    <w:link w:val="HeaderChar"/>
    <w:uiPriority w:val="99"/>
    <w:rsid w:val="009E10E4"/>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9E10E4"/>
    <w:rPr>
      <w:rFonts w:ascii="Trebuchet MS" w:eastAsia="Calibri" w:hAnsi="Trebuchet MS" w:cs="Times New Roman"/>
      <w:color w:val="333333"/>
      <w:kern w:val="0"/>
      <w:sz w:val="20"/>
      <w:szCs w:val="20"/>
      <w14:ligatures w14:val="none"/>
    </w:rPr>
  </w:style>
  <w:style w:type="paragraph" w:styleId="Footer">
    <w:name w:val="footer"/>
    <w:basedOn w:val="Normal"/>
    <w:link w:val="FooterChar"/>
    <w:uiPriority w:val="99"/>
    <w:rsid w:val="009E10E4"/>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9E10E4"/>
    <w:rPr>
      <w:rFonts w:ascii="Trebuchet MS" w:eastAsia="Calibri" w:hAnsi="Trebuchet MS" w:cs="Times New Roman"/>
      <w:color w:val="333333"/>
      <w:kern w:val="0"/>
      <w:sz w:val="20"/>
      <w:szCs w:val="20"/>
      <w14:ligatures w14:val="none"/>
    </w:rPr>
  </w:style>
  <w:style w:type="table" w:styleId="TableGrid">
    <w:name w:val="Table Grid"/>
    <w:basedOn w:val="TableNormal"/>
    <w:uiPriority w:val="39"/>
    <w:rsid w:val="004F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8C81871AC9E48BE6220AF052B886E" ma:contentTypeVersion="18" ma:contentTypeDescription="Create a new document." ma:contentTypeScope="" ma:versionID="9de3f23d595518527915c7fc84c7b9f5">
  <xsd:schema xmlns:xsd="http://www.w3.org/2001/XMLSchema" xmlns:xs="http://www.w3.org/2001/XMLSchema" xmlns:p="http://schemas.microsoft.com/office/2006/metadata/properties" xmlns:ns2="7eddb9a5-02fb-4dd3-9888-5c23fbf6615e" xmlns:ns3="62cb17b3-d63f-4914-becd-598ec9abaf1d" targetNamespace="http://schemas.microsoft.com/office/2006/metadata/properties" ma:root="true" ma:fieldsID="55b103d50691acbc6693f1f07c43810a" ns2:_="" ns3:_="">
    <xsd:import namespace="7eddb9a5-02fb-4dd3-9888-5c23fbf6615e"/>
    <xsd:import namespace="62cb17b3-d63f-4914-becd-598ec9abaf1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OCR"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db9a5-02fb-4dd3-9888-5c23fbf66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f12ba7-e84d-446e-b734-2715b838dd88}" ma:internalName="TaxCatchAll" ma:showField="CatchAllData" ma:web="7eddb9a5-02fb-4dd3-9888-5c23fbf661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cb17b3-d63f-4914-becd-598ec9abaf1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2284b0-e479-4e25-9f48-73999d73a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cb17b3-d63f-4914-becd-598ec9abaf1d">
      <Terms xmlns="http://schemas.microsoft.com/office/infopath/2007/PartnerControls"/>
    </lcf76f155ced4ddcb4097134ff3c332f>
    <TaxCatchAll xmlns="7eddb9a5-02fb-4dd3-9888-5c23fbf6615e" xsi:nil="true"/>
  </documentManagement>
</p:properties>
</file>

<file path=customXml/itemProps1.xml><?xml version="1.0" encoding="utf-8"?>
<ds:datastoreItem xmlns:ds="http://schemas.openxmlformats.org/officeDocument/2006/customXml" ds:itemID="{3730A86D-29DB-4E4F-BB47-1AE13056E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db9a5-02fb-4dd3-9888-5c23fbf6615e"/>
    <ds:schemaRef ds:uri="62cb17b3-d63f-4914-becd-598ec9ab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A8CBD-ECC3-4C78-80CE-59D439F66F7F}">
  <ds:schemaRefs>
    <ds:schemaRef ds:uri="http://schemas.microsoft.com/sharepoint/v3/contenttype/forms"/>
  </ds:schemaRefs>
</ds:datastoreItem>
</file>

<file path=customXml/itemProps3.xml><?xml version="1.0" encoding="utf-8"?>
<ds:datastoreItem xmlns:ds="http://schemas.openxmlformats.org/officeDocument/2006/customXml" ds:itemID="{3AD883B1-3F24-4F63-9C0D-957B6152C076}">
  <ds:schemaRefs>
    <ds:schemaRef ds:uri="http://schemas.microsoft.com/office/2006/metadata/properties"/>
    <ds:schemaRef ds:uri="http://schemas.microsoft.com/office/infopath/2007/PartnerControls"/>
    <ds:schemaRef ds:uri="62cb17b3-d63f-4914-becd-598ec9abaf1d"/>
    <ds:schemaRef ds:uri="7eddb9a5-02fb-4dd3-9888-5c23fbf6615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Fraiteur</dc:creator>
  <cp:keywords/>
  <dc:description/>
  <cp:lastModifiedBy>Gael Fraiteur</cp:lastModifiedBy>
  <cp:revision>7</cp:revision>
  <dcterms:created xsi:type="dcterms:W3CDTF">2025-08-06T13:45:00Z</dcterms:created>
  <dcterms:modified xsi:type="dcterms:W3CDTF">2025-08-06T14:29:00Z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0x010100F3D8C81871AC9E48BE6220AF052B886E</vt:lpwstr>
  </property>
  <property fmtid="{D5CDD505-2E9C-101B-9397-08002B2CF9AE}" pid="3" name="MediaServiceImageTags">
    <vt:lpwstr/>
  </property>
</Properties>
</file>